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AEF" w:rsidRPr="004F2AEF" w:rsidRDefault="004F2AEF" w:rsidP="004F2AEF">
      <w:pPr>
        <w:spacing w:before="60" w:after="0" w:line="240" w:lineRule="auto"/>
        <w:ind w:firstLine="567"/>
        <w:jc w:val="both"/>
        <w:rPr>
          <w:rFonts w:eastAsia="Times New Roman" w:cs="Times New Roman"/>
          <w:b/>
          <w:bCs/>
          <w:szCs w:val="28"/>
        </w:rPr>
      </w:pPr>
      <w:bookmarkStart w:id="0" w:name="_GoBack"/>
      <w:bookmarkEnd w:id="0"/>
      <w:r w:rsidRPr="004F2AEF">
        <w:rPr>
          <w:rFonts w:eastAsia="Times New Roman" w:cs="Times New Roman"/>
          <w:b/>
          <w:bCs/>
          <w:szCs w:val="28"/>
        </w:rPr>
        <w:t xml:space="preserve">Thẩm định Báo cáo nghiên cứu khả thi đầu tư xây dựng/ Báo cáo nghiên cứu khả thi đầu tư xây dựng điều chỉnh – </w:t>
      </w:r>
      <w:r w:rsidRPr="004F2AEF">
        <w:rPr>
          <w:rFonts w:eastAsia="Times New Roman" w:cs="Times New Roman"/>
          <w:bCs/>
          <w:szCs w:val="28"/>
        </w:rPr>
        <w:t>MSTT 1.009972</w:t>
      </w:r>
    </w:p>
    <w:p w:rsidR="004F2AEF" w:rsidRPr="004F2AEF" w:rsidRDefault="004F2AEF" w:rsidP="004F2AEF">
      <w:pPr>
        <w:spacing w:before="60" w:after="0" w:line="240" w:lineRule="auto"/>
        <w:ind w:firstLine="567"/>
        <w:jc w:val="both"/>
        <w:rPr>
          <w:rFonts w:eastAsia="Times New Roman" w:cs="Times New Roman"/>
          <w:b/>
          <w:bCs/>
          <w:szCs w:val="28"/>
        </w:rPr>
      </w:pPr>
      <w:r w:rsidRPr="004F2AEF">
        <w:rPr>
          <w:rFonts w:eastAsia="Times New Roman" w:cs="Times New Roman"/>
          <w:b/>
          <w:bCs/>
          <w:szCs w:val="28"/>
        </w:rPr>
        <w:t>1. Trình tự thực hiện:</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 xml:space="preserve">- Người đề nghị thẩm định nộp trực tiếp hoặc qua dịch vụ bưu chính hoặc trực tuyến 01 bộ hồ sơ đề nghị thẩm định Báo cáo nghiên cứu khả thi đầu tư xây dựng/ Báo cáo nghiên cứu khả thi đầu tư xây dựng điều chỉnh đến Trung tâm phục vụ hành chính công của tỉnh hoặc Bộ phận tiếp nhận và trả kết quả giải quyết TTHC của Sở Xây dựng hoặc Sở Giao thông vận tải (hoặc Sở Giao thông vận tải - Xây dựng) hoặc Sở Công Thương hoặc Sở NN&amp;PTNT hoặc Ban quản lý khu công nghiệp, khu chế xuất, khu công nghệ cao, khu kinh tế. Sau đây gọi chung là Cơ quan chuyên môn về xây dựng của tỉnh. </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 Trong thời hạn 05 ngày làm việc sau khi tiếp nhận hồ sơ, cơ quan chuyên môn về xây dựng có trách nhiệm:</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 Gửi văn bản yêu cầu bổ sung hồ sơ.</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 Trả lại hồ sơ thẩm định và có văn bản nêu rõ lý do từ chối thực hiện thẩm định trong các trường hợp: Không đúng với thẩm quyền của cơ quan chuyên môn về xây dựng hoặc người đề nghị thẩm định không đúng thẩm quyền theo quy định tại Nghị định số 15/2021/NĐ-CP được sửa đổi, sung tại Nghị định số 35/2023/NĐ-CP; Không thuộc đối tượng phải thẩm định tại cơ quan chuyên môn về xây dựng; Hồ sơ trình thẩm định không bảo đảm về tính pháp lý hoặc không hợp lệ.</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 Gửi văn bản đến các cơ quan có thẩm quyền về phòng cháy chữa cháy để thực hiện lấy ý kiến về giải pháp phòng cháy, chữa cháy của thiết kế cơ sở (trường hợp chủ đầu tư có yêu cầu).</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 Trong thời hạn 20 ngày kể từ ngày nhận được yêu cầu của cơ quan chuyên môn về xây dựng, nếu người đề nghị thẩm định không thực hiện việc bổ sung hồ sơ thì cơ quan chuyên môn về xây dựng dừng việc thẩm định, người đề nghị thẩm định trình thẩm định lại khi có yêu cầu.</w:t>
      </w:r>
    </w:p>
    <w:p w:rsidR="004F2AEF" w:rsidRPr="004F2AEF" w:rsidRDefault="004F2AEF" w:rsidP="004F2AEF">
      <w:pPr>
        <w:spacing w:before="60" w:after="0" w:line="240" w:lineRule="auto"/>
        <w:ind w:firstLine="567"/>
        <w:jc w:val="both"/>
        <w:rPr>
          <w:rFonts w:eastAsia="Wingdings" w:cs="Times New Roman"/>
          <w:spacing w:val="-4"/>
          <w:szCs w:val="28"/>
        </w:rPr>
      </w:pPr>
      <w:r w:rsidRPr="004F2AEF">
        <w:rPr>
          <w:rFonts w:eastAsia="Wingdings" w:cs="Times New Roman"/>
          <w:spacing w:val="-4"/>
          <w:szCs w:val="28"/>
        </w:rPr>
        <w:t>- Trong quá trình thẩm định, cơ quan chuyên môn về xây dựng có quyền tạm dừng thẩm định (không quá 01 lần) và thông báo kịp thời bằng văn bản đến người đề nghị thẩm định các lỗi, sai sót về thông tin, số liệu trong nội dung hồ sơ dẫn đến không thể đưa ra kết luận thẩm định. Trường hợp các lỗi, sai sót nêu trên không thể khắc phục được trong thời hạn 20 ngày thì cơ quan chuyên môn về xây dựng dừng việc thẩm định, người đề nghị thẩm định trình thẩm định lại khi có yêu cầu.</w:t>
      </w:r>
    </w:p>
    <w:p w:rsidR="004F2AEF" w:rsidRPr="004F2AEF" w:rsidRDefault="004F2AEF" w:rsidP="004F2AEF">
      <w:pPr>
        <w:spacing w:before="60" w:after="0" w:line="240" w:lineRule="auto"/>
        <w:ind w:firstLine="567"/>
        <w:jc w:val="both"/>
        <w:rPr>
          <w:rFonts w:eastAsia="Wingdings" w:cs="Times New Roman"/>
          <w:spacing w:val="6"/>
          <w:szCs w:val="28"/>
        </w:rPr>
      </w:pPr>
      <w:r w:rsidRPr="004F2AEF">
        <w:rPr>
          <w:rFonts w:eastAsia="Wingdings" w:cs="Times New Roman"/>
          <w:szCs w:val="28"/>
        </w:rPr>
        <w:t>- Trong thời hạn không quá 80 ngày (đối với dự án quan trọng quốc gia không sử dụng vốn đầu tư công), 35 ngày (đối với dự án nhóm A), 25 ngày (đối với dự án nhóm B), 15 ngày (đối với dự án nhóm C) kể từ ngày nhận đủ hồ sơ hợp lệ, cơ quan chuyên môn về xây dựng ra văn bản thông báo kết quả thẩm định kèm theo hồ sơ bản vẽ được đóng dấu.</w:t>
      </w:r>
    </w:p>
    <w:p w:rsidR="004F2AEF" w:rsidRPr="004F2AEF" w:rsidRDefault="004F2AEF" w:rsidP="004F2AEF">
      <w:pPr>
        <w:spacing w:before="60" w:after="0" w:line="240" w:lineRule="auto"/>
        <w:ind w:firstLine="567"/>
        <w:jc w:val="both"/>
        <w:rPr>
          <w:rFonts w:eastAsia="Times New Roman" w:cs="Times New Roman"/>
          <w:b/>
          <w:bCs/>
          <w:szCs w:val="28"/>
        </w:rPr>
      </w:pPr>
      <w:r w:rsidRPr="004F2AEF">
        <w:rPr>
          <w:rFonts w:eastAsia="Times New Roman" w:cs="Times New Roman"/>
          <w:b/>
          <w:bCs/>
          <w:szCs w:val="28"/>
        </w:rPr>
        <w:t>2. Cách thức thực hiện:</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lastRenderedPageBreak/>
        <w:t>- Nộp hồ sơ trực tiếp hoặc gửi qua hệ thống bưu chính hoặc qua cổng dịch vụ công trực tuyến hoặc hình thức phù hợp khác đến Sở Giao thông vận tải – Xây dựng hoặc cơ quan chuyên môn về xây dựng của tỉnh.</w:t>
      </w:r>
    </w:p>
    <w:p w:rsidR="004F2AEF" w:rsidRPr="004F2AEF" w:rsidRDefault="004F2AEF" w:rsidP="004F2AEF">
      <w:pPr>
        <w:spacing w:before="60" w:after="0" w:line="240" w:lineRule="auto"/>
        <w:ind w:firstLine="567"/>
        <w:jc w:val="both"/>
        <w:rPr>
          <w:rFonts w:eastAsia="Times New Roman" w:cs="Times New Roman"/>
          <w:b/>
          <w:bCs/>
          <w:szCs w:val="28"/>
        </w:rPr>
      </w:pPr>
      <w:r w:rsidRPr="004F2AEF">
        <w:rPr>
          <w:rFonts w:eastAsia="Times New Roman" w:cs="Times New Roman"/>
          <w:b/>
          <w:bCs/>
          <w:szCs w:val="28"/>
        </w:rPr>
        <w:t>3. Thành phần, số lượng hồ sơ:</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 xml:space="preserve">a) Thành phần hồ sơ: </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w:t>
      </w:r>
      <w:r w:rsidRPr="004F2AEF">
        <w:rPr>
          <w:rFonts w:eastAsia="Wingdings" w:cs="Times New Roman"/>
          <w:szCs w:val="28"/>
          <w:lang w:val="vi-VN"/>
        </w:rPr>
        <w:t xml:space="preserve"> </w:t>
      </w:r>
      <w:r w:rsidRPr="004F2AEF">
        <w:rPr>
          <w:rFonts w:eastAsia="Wingdings" w:cs="Times New Roman"/>
          <w:szCs w:val="28"/>
        </w:rPr>
        <w:t xml:space="preserve">Tờ trình thẩm định Báo cáo nghiên cứu khả thi đầu tư xây dựng </w:t>
      </w:r>
      <w:r w:rsidRPr="004F2AEF">
        <w:rPr>
          <w:rFonts w:eastAsia="Wingdings" w:cs="Times New Roman"/>
          <w:szCs w:val="28"/>
          <w:lang w:val="vi-VN"/>
        </w:rPr>
        <w:t xml:space="preserve">theo Mẫu số </w:t>
      </w:r>
      <w:r w:rsidRPr="004F2AEF">
        <w:rPr>
          <w:rFonts w:eastAsia="Wingdings" w:cs="Times New Roman"/>
          <w:szCs w:val="28"/>
        </w:rPr>
        <w:t>0</w:t>
      </w:r>
      <w:r w:rsidRPr="004F2AEF">
        <w:rPr>
          <w:rFonts w:eastAsia="Wingdings" w:cs="Times New Roman"/>
          <w:szCs w:val="28"/>
          <w:lang w:val="vi-VN"/>
        </w:rPr>
        <w:t>1 Phụ lục I Nghị định số 15/2021/NĐ-CP</w:t>
      </w:r>
      <w:r w:rsidRPr="004F2AEF">
        <w:rPr>
          <w:rFonts w:eastAsia="Wingdings" w:cs="Times New Roman"/>
          <w:szCs w:val="28"/>
        </w:rPr>
        <w:t>.</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 Văn bản về chủ trương đầu tư xây dựng công trình theo quy định pháp luật về đầu tư, đầu tư công, đầu tư theo phương thức đối tác công tư.</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 Quyết định lựa chọn phương án thiết kế kiến trúc thông qua thi tuyển theo quy định và phương án thiết kế được lựa chọn kèm theo (nếu có yêu cầu).</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 Văn bản/quyết định phê duyệt và bản vẽ kèm theo (nếu có) của một trong các loại quy hoạch sau đây: Quy hoạch chi tiết xây dựng được cấp có thẩm quyền phê duyệt; quy hoạch có tính chất kỹ thuật chuyên ngành khác theo quy định của pháp luật về quy hoạch; phương án tuyến công trình, vị trí công trình được cơ quan nhà nước có thẩm quyền chấp thuận; quy hoạch phân khu xây dựng đối với trường hợp không có yêu cầu lập quy hoạch chi tiết xây dựng.</w:t>
      </w:r>
    </w:p>
    <w:p w:rsidR="004F2AEF" w:rsidRPr="004F2AEF" w:rsidRDefault="004F2AEF" w:rsidP="004F2AEF">
      <w:pPr>
        <w:spacing w:before="60" w:after="0" w:line="240" w:lineRule="auto"/>
        <w:ind w:firstLine="567"/>
        <w:jc w:val="both"/>
        <w:rPr>
          <w:rFonts w:eastAsia="Wingdings" w:cs="Times New Roman"/>
          <w:bCs/>
          <w:i/>
          <w:szCs w:val="28"/>
        </w:rPr>
      </w:pPr>
      <w:r w:rsidRPr="004F2AEF">
        <w:rPr>
          <w:rFonts w:eastAsia="Wingdings" w:cs="Times New Roman"/>
          <w:bCs/>
          <w:i/>
          <w:szCs w:val="28"/>
        </w:rPr>
        <w:t>- Văn bản ý kiến về giải pháp phòng cháy và chữa cháy của thiết kế cơ sở; văn bản kết quả thực hiện thủ tục về đánh giá tác động môi trường hoặc giấy phép môi trường theo quy định của pháp luật về bảo vệ môi trường (nếu có yêu cầu theo quy định của pháp luật về phòng cháy và chữa cháy, bảo vệ môi trường).</w:t>
      </w:r>
    </w:p>
    <w:p w:rsidR="004F2AEF" w:rsidRPr="004F2AEF" w:rsidRDefault="004F2AEF" w:rsidP="004F2AEF">
      <w:pPr>
        <w:spacing w:before="60" w:after="0" w:line="240" w:lineRule="auto"/>
        <w:ind w:firstLine="567"/>
        <w:jc w:val="both"/>
        <w:rPr>
          <w:rFonts w:eastAsia="Wingdings" w:cs="Times New Roman"/>
          <w:bCs/>
          <w:i/>
          <w:szCs w:val="28"/>
          <w:lang w:val="vi-VN"/>
        </w:rPr>
      </w:pPr>
      <w:r w:rsidRPr="004F2AEF">
        <w:rPr>
          <w:rFonts w:eastAsia="Wingdings" w:cs="Times New Roman"/>
          <w:bCs/>
          <w:i/>
          <w:szCs w:val="28"/>
        </w:rPr>
        <w:t xml:space="preserve">Các thủ tục về phòng cháy và chữa cháy, bảo vệ môi trường được thực hiện theo nguyên tắc đồng thời, không yêu cầu bắt buộc xuất trình các văn bản này tại thời điểm trình hồ sơ thẩm định, nhưng phải có kết quả gửi cơ quan chuyên môn về xây dựng trước thời hạn thông báo kết quả thẩm định 05 ngày </w:t>
      </w:r>
      <w:r w:rsidRPr="004F2AEF">
        <w:rPr>
          <w:rFonts w:eastAsia="Wingdings" w:cs="Times New Roman"/>
          <w:bCs/>
          <w:i/>
          <w:szCs w:val="28"/>
          <w:lang w:val="vi-VN"/>
        </w:rPr>
        <w:t>làm việc. Trường hợp chủ đầu tư có yêu cầu thực hiện thủ tục lấy ý kiến về giải pháp phòng cháy và chữa cháy của thiết kế cơ sở theo cơ chế một cửa liên thông khi thẩm định Báo cáo nghiên cứu khả thi đầu tư xây dựng tại cơ quan chuyên môn về xây dựng thì chủ đầu tư nộp bổ sung 01 bộ hồ sơ theo quy định của pháp luật về phòng cháy và chữa cháy.</w:t>
      </w:r>
      <w:r w:rsidRPr="004F2AEF">
        <w:rPr>
          <w:rFonts w:eastAsia="Wingdings" w:cs="Times New Roman"/>
          <w:bCs/>
          <w:i/>
          <w:szCs w:val="28"/>
          <w:vertAlign w:val="superscript"/>
          <w:lang w:val="vi-VN"/>
        </w:rPr>
        <w:footnoteReference w:id="1"/>
      </w:r>
    </w:p>
    <w:p w:rsidR="004F2AEF" w:rsidRPr="004F2AEF" w:rsidRDefault="004F2AEF" w:rsidP="004F2AEF">
      <w:pPr>
        <w:spacing w:before="60" w:after="0" w:line="240" w:lineRule="auto"/>
        <w:ind w:firstLine="567"/>
        <w:jc w:val="both"/>
        <w:rPr>
          <w:rFonts w:eastAsia="Wingdings" w:cs="Times New Roman"/>
          <w:szCs w:val="28"/>
          <w:lang w:val="vi-VN"/>
        </w:rPr>
      </w:pPr>
      <w:r w:rsidRPr="004F2AEF">
        <w:rPr>
          <w:rFonts w:eastAsia="Wingdings" w:cs="Times New Roman"/>
          <w:szCs w:val="28"/>
          <w:lang w:val="vi-VN"/>
        </w:rPr>
        <w:t>- Các văn bản thỏa thuận, xác nhận về đấu nối hạ tầng kỹ thuật của dự án; văn bản chấp thuận độ cao công trình theo quy định của Chính phủ về quản lý độ cao chướng ngại vật hàng không và các trận địa quản lý, bảo vệ vùng trời tại Việt Nam (trường hợp dự án không thuộc khu vực hoặc đối tượng có yêu cầu lấy ý kiến thống nhất về bề mặt quản lý độ cao công trình tại giai đoạn phê duyệt quy hoạch xây dựng) (nếu có).</w:t>
      </w:r>
    </w:p>
    <w:p w:rsidR="004F2AEF" w:rsidRPr="004F2AEF" w:rsidRDefault="004F2AEF" w:rsidP="004F2AEF">
      <w:pPr>
        <w:spacing w:before="60" w:after="0" w:line="240" w:lineRule="auto"/>
        <w:ind w:firstLine="567"/>
        <w:jc w:val="both"/>
        <w:rPr>
          <w:rFonts w:eastAsia="Wingdings" w:cs="Times New Roman"/>
          <w:szCs w:val="28"/>
          <w:lang w:val="vi-VN"/>
        </w:rPr>
      </w:pPr>
      <w:r w:rsidRPr="004F2AEF">
        <w:rPr>
          <w:rFonts w:eastAsia="Wingdings" w:cs="Times New Roman"/>
          <w:szCs w:val="28"/>
          <w:lang w:val="vi-VN"/>
        </w:rPr>
        <w:t>- Các văn bản pháp lý khác có liên quan (nếu có).</w:t>
      </w:r>
    </w:p>
    <w:p w:rsidR="004F2AEF" w:rsidRPr="004F2AEF" w:rsidRDefault="004F2AEF" w:rsidP="004F2AEF">
      <w:pPr>
        <w:spacing w:before="60" w:after="0" w:line="240" w:lineRule="auto"/>
        <w:ind w:firstLine="567"/>
        <w:jc w:val="both"/>
        <w:rPr>
          <w:rFonts w:eastAsia="Wingdings" w:cs="Times New Roman"/>
          <w:szCs w:val="28"/>
          <w:lang w:val="vi-VN"/>
        </w:rPr>
      </w:pPr>
      <w:r w:rsidRPr="004F2AEF">
        <w:rPr>
          <w:rFonts w:eastAsia="Wingdings" w:cs="Times New Roman"/>
          <w:szCs w:val="28"/>
          <w:lang w:val="vi-VN"/>
        </w:rPr>
        <w:t xml:space="preserve">- Hồ sơ khảo sát xây dựng được phê duyệt; thuyết minh Báo cáo nghiên cứu khả thi đầu tư xây dựng; thiết kế cơ sở hoặc thiết kế khác theo thông lệ quốc tế phục vụ lập </w:t>
      </w:r>
      <w:r w:rsidRPr="004F2AEF">
        <w:rPr>
          <w:rFonts w:eastAsia="Wingdings" w:cs="Times New Roman"/>
          <w:szCs w:val="28"/>
          <w:lang w:val="vi-VN"/>
        </w:rPr>
        <w:lastRenderedPageBreak/>
        <w:t>báo cáo nghiên cứu khả thi đầu tư xây dựng (gồm bản vẽ và thuyết minh); danh mục tiêu chuẩn chủ yếu áp dụng cho dự án.</w:t>
      </w:r>
    </w:p>
    <w:p w:rsidR="004F2AEF" w:rsidRPr="004F2AEF" w:rsidRDefault="004F2AEF" w:rsidP="004F2AEF">
      <w:pPr>
        <w:spacing w:before="60" w:after="0" w:line="240" w:lineRule="auto"/>
        <w:ind w:firstLine="567"/>
        <w:jc w:val="both"/>
        <w:rPr>
          <w:rFonts w:eastAsia="Wingdings" w:cs="Times New Roman"/>
          <w:szCs w:val="28"/>
          <w:lang w:val="vi-VN"/>
        </w:rPr>
      </w:pPr>
      <w:r w:rsidRPr="004F2AEF">
        <w:rPr>
          <w:rFonts w:eastAsia="Wingdings" w:cs="Times New Roman"/>
          <w:szCs w:val="28"/>
          <w:lang w:val="vi-VN"/>
        </w:rPr>
        <w:t>- Danh sách các nhà thầu kèm theo mã số chứng chỉ năng lực của nhà thầu khảo sát, nhà thầu lập thiết kế cơ sở, nhà thầu thẩm tra (nếu có); mã số chứng chỉ hành nghề hoạt động xây dựng của các chức danh chủ nhiệm khảo sát xây dựng; chủ nhiệm, chủ trì các bộ môn thiết kế, lập tổng mức đầu tư; chủ nhiệm, chủ trì thẩm tra.</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lang w:val="vi-VN"/>
        </w:rPr>
        <w:t>- Đối với dự án sử dụng vốn đầu tư công, vốn nhà nước ngoài đầu tư công có yêu cầu xem xét tổng mức đầu tư, hồ sơ trình thẩm định còn phải có các nội dung sau: tổng mức đầu tư; các thông tin, số liệu về giá, định mức có liên quan; báo giá, kết quả thẩm định giá (nếu có).</w:t>
      </w:r>
      <w:r w:rsidRPr="004F2AEF">
        <w:rPr>
          <w:rFonts w:eastAsia="Wingdings" w:cs="Times New Roman"/>
          <w:szCs w:val="28"/>
        </w:rPr>
        <w:t>.</w:t>
      </w:r>
    </w:p>
    <w:p w:rsidR="004F2AEF" w:rsidRPr="004F2AEF" w:rsidRDefault="004F2AEF" w:rsidP="004F2AEF">
      <w:pPr>
        <w:spacing w:before="60" w:after="0" w:line="240" w:lineRule="auto"/>
        <w:ind w:firstLine="567"/>
        <w:jc w:val="both"/>
        <w:rPr>
          <w:rFonts w:eastAsia="Wingdings" w:cs="Times New Roman"/>
          <w:i/>
          <w:szCs w:val="28"/>
        </w:rPr>
      </w:pPr>
      <w:r w:rsidRPr="004F2AEF">
        <w:rPr>
          <w:rFonts w:eastAsia="Wingdings" w:cs="Times New Roman"/>
          <w:i/>
          <w:szCs w:val="28"/>
        </w:rPr>
        <w:t>b) Số lượng hồ sơ: 01 bộ.</w:t>
      </w:r>
    </w:p>
    <w:p w:rsidR="004F2AEF" w:rsidRPr="004F2AEF" w:rsidRDefault="004F2AEF" w:rsidP="004F2AEF">
      <w:pPr>
        <w:spacing w:before="60" w:after="0" w:line="240" w:lineRule="auto"/>
        <w:ind w:firstLine="567"/>
        <w:jc w:val="both"/>
        <w:rPr>
          <w:rFonts w:eastAsia="Times New Roman" w:cs="Times New Roman"/>
          <w:b/>
          <w:bCs/>
          <w:szCs w:val="28"/>
        </w:rPr>
      </w:pPr>
      <w:r w:rsidRPr="004F2AEF">
        <w:rPr>
          <w:rFonts w:eastAsia="Times New Roman" w:cs="Times New Roman"/>
          <w:b/>
          <w:bCs/>
          <w:szCs w:val="28"/>
        </w:rPr>
        <w:t>4. Thời hạn giải quyết:</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Dự án nhóm A không quá 35 ngày, dự án nhóm B không quá 25 ngày, dự án nhóm C không quá 15 ngày kể từ ngày nhận đủ hồ sơ hợp lệ.</w:t>
      </w:r>
    </w:p>
    <w:p w:rsidR="004F2AEF" w:rsidRPr="004F2AEF" w:rsidRDefault="004F2AEF" w:rsidP="004F2AEF">
      <w:pPr>
        <w:spacing w:before="60" w:after="0" w:line="240" w:lineRule="auto"/>
        <w:ind w:firstLine="567"/>
        <w:jc w:val="both"/>
        <w:rPr>
          <w:rFonts w:eastAsia="Times New Roman" w:cs="Times New Roman"/>
          <w:b/>
          <w:bCs/>
          <w:szCs w:val="28"/>
        </w:rPr>
      </w:pPr>
      <w:r w:rsidRPr="004F2AEF">
        <w:rPr>
          <w:rFonts w:eastAsia="Times New Roman" w:cs="Times New Roman"/>
          <w:b/>
          <w:bCs/>
          <w:szCs w:val="28"/>
        </w:rPr>
        <w:t>5. Đối tượng thực hiện TTHC:</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Chủ đầu tư hoặc tổ chức/cá nhân được người quyết định đầu tư/cơ quan nhà nước có thẩm quyền giao chuẩn bị dự án gọi chung là Người đề nghị thẩm định.</w:t>
      </w:r>
    </w:p>
    <w:p w:rsidR="004F2AEF" w:rsidRPr="004F2AEF" w:rsidRDefault="004F2AEF" w:rsidP="004F2AEF">
      <w:pPr>
        <w:spacing w:before="60" w:after="0" w:line="240" w:lineRule="auto"/>
        <w:ind w:firstLine="567"/>
        <w:jc w:val="both"/>
        <w:rPr>
          <w:rFonts w:eastAsia="Times New Roman" w:cs="Times New Roman"/>
          <w:b/>
          <w:bCs/>
          <w:szCs w:val="28"/>
        </w:rPr>
      </w:pPr>
      <w:r w:rsidRPr="004F2AEF">
        <w:rPr>
          <w:rFonts w:eastAsia="Times New Roman" w:cs="Times New Roman"/>
          <w:b/>
          <w:bCs/>
          <w:szCs w:val="28"/>
        </w:rPr>
        <w:t>6. Cơ quan thực hiện TTHC:</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Cơ quan chuyên môn về xây dựng của tỉnh (Sở Xây dựng, Sở Giao thông vận tải, Sở Giao thông vận tải - Xây dựng; Sở Nông nghiệp và Phát triển nông thôn, Sở Công Thương và Ban Quản lý Khu kinh tế), cụ thể như sau:</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a) Đối với dự án đầu tư xây dựng sử dụng vốn đầu tư công, cơ quan chuyên môn về xây dựng thẩm định đối với dự án thuộc chuyên ngành quản lý theo quy định tại Điều 109 Nghị định số 15/2021/NĐ-CP, cụ thể:</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 Cơ quan chuyên môn về xây dựng thuộc Ủy ban nhân dân cấp tỉnh thẩm định đối với dự án được đầu tư xây dựng trên địa bàn hành chính của tỉnh; trừ dự án quy định tại điểm a khoản này và dự án có yêu cầu lập Báo cáo kinh tế - kỹ thuật đầu tư xây dựng;</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 Cơ quan chuyên môn về xây dựng thuộc Ủy ban nhân dân thành phố Hà Nội, Thành phố Hồ Chí Minh thẩm định đối với dự án do Chủ tịch Ủy ban nhân dân thành phố quyết định đầu tư hoặc phân cấp, ủy quyền quyết định đầu tư.</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b) Đối với dự án đầu tư xây dựng sử dụng vốn nhà nước ngoài đầu tư công, cơ quan chuyên môn về xây dựng thẩm định đối với dự án từ nhóm B trở lên, dự án có công trình ảnh hưởng lớn đến an toàn, lợi ích cộng đồng thuộc chuyên ngành quản lý theo quy định tại Điều 109 Nghị định số 15/2021/NĐ-CP, cụ thể:</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 Cơ quan chuyên môn về xây dựng thuộc Ủy ban nhân dân cấp tỉnh thẩm định đối với dự án được đầu tư xây dựng trên địa bàn hành chính của tỉnh, trừ dự án quy định tại các điểm a khoản này;</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lastRenderedPageBreak/>
        <w:t>- Cơ quan chuyên môn về xây dựng thuộc Ủy ban nhân dân thành phố Hà Nội, Thành phố Hồ Chí Minh thẩm định đối với dự án do Chủ tịch Ủy ban nhân dân thành phố quyết định đầu tư hoặc phân cấp, ủy quyền quyết định đầu tư.</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 Đối với dự án PPP, cơ quan chuyên môn về xây dựng thẩm định đối với dự án thuộc chuyên ngành quản lý theo quy định tại Điều 109 Nghị định số 15/2021/NĐ-CP, cụ thể:</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 Cơ quan chuyên môn về xây dựng thuộc Ủy ban nhân dân cấp tỉnh thẩm định đối với dự án PPP được đầu tư xây dựng trên địa bàn hành chính của tỉnh, trừ dự án quy định tại điểm a khoản này.</w:t>
      </w:r>
    </w:p>
    <w:p w:rsidR="004F2AEF" w:rsidRPr="004F2AEF" w:rsidRDefault="004F2AEF" w:rsidP="004F2AEF">
      <w:pPr>
        <w:spacing w:before="60" w:after="0" w:line="240" w:lineRule="auto"/>
        <w:ind w:firstLine="567"/>
        <w:jc w:val="both"/>
        <w:rPr>
          <w:rFonts w:eastAsia="Wingdings" w:cs="Times New Roman"/>
          <w:spacing w:val="-6"/>
          <w:szCs w:val="28"/>
        </w:rPr>
      </w:pPr>
      <w:r w:rsidRPr="004F2AEF">
        <w:rPr>
          <w:rFonts w:eastAsia="Wingdings" w:cs="Times New Roman"/>
          <w:spacing w:val="-6"/>
          <w:szCs w:val="28"/>
        </w:rPr>
        <w:t>c) Đối với dự án đầu tư xây dựng sử dụng vốn khác, cơ quan chuyên môn về xây dựng thẩm định đối với dự án quy mô lớn quy định tại khoản 8 Điều 3 Nghị định này, dự án có công trình ảnh hưởng lớn đến an toàn, lợi ích cộng đồng thuộc chuyên ngành quản lý theo quy định tại Điều 109 Nghị định số 15/2021/NĐ-CP, cụ thể:</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 Cơ quan chuyên môn về xây dựng thuộc Ủy ban nhân dân cấp tỉnh thẩm định đối với dự án được đầu tư xây dựng trên địa bàn hành chính của tỉnh; trừ dự án quy định tại điểm a khoản này.</w:t>
      </w:r>
    </w:p>
    <w:p w:rsidR="004F2AEF" w:rsidRPr="004F2AEF" w:rsidRDefault="004F2AEF" w:rsidP="004F2AEF">
      <w:pPr>
        <w:spacing w:before="60" w:after="0" w:line="240" w:lineRule="auto"/>
        <w:ind w:firstLine="567"/>
        <w:jc w:val="both"/>
        <w:rPr>
          <w:rFonts w:eastAsia="Times New Roman" w:cs="Times New Roman"/>
          <w:b/>
          <w:bCs/>
          <w:szCs w:val="28"/>
        </w:rPr>
      </w:pPr>
      <w:r w:rsidRPr="004F2AEF">
        <w:rPr>
          <w:rFonts w:eastAsia="Times New Roman" w:cs="Times New Roman"/>
          <w:b/>
          <w:bCs/>
          <w:szCs w:val="28"/>
        </w:rPr>
        <w:t>7. Kết quả của việc thực hiện TTHC:</w:t>
      </w:r>
    </w:p>
    <w:p w:rsidR="004F2AEF" w:rsidRPr="004F2AEF" w:rsidRDefault="004F2AEF" w:rsidP="004F2AEF">
      <w:pPr>
        <w:spacing w:before="60" w:after="0" w:line="240" w:lineRule="auto"/>
        <w:ind w:firstLine="567"/>
        <w:jc w:val="both"/>
        <w:rPr>
          <w:rFonts w:eastAsia="Wingdings" w:cs="Times New Roman"/>
          <w:spacing w:val="-2"/>
          <w:szCs w:val="28"/>
        </w:rPr>
      </w:pPr>
      <w:r w:rsidRPr="004F2AEF">
        <w:rPr>
          <w:rFonts w:eastAsia="Wingdings" w:cs="Times New Roman"/>
          <w:spacing w:val="-2"/>
          <w:szCs w:val="28"/>
        </w:rPr>
        <w:t>Văn bản thông báo kết quả thẩm định Báo cáo nghiên cứu khả thi đầu tư xây dựng/ Báo cáo nghiên cứu khả thi đầu tư xây dựng điều chỉnh kèm theo hồ sơ thiết kế trình thẩm định có đóng dấu thẩm định của cơ quan chuyên môn về xây dựng.</w:t>
      </w:r>
    </w:p>
    <w:p w:rsidR="004F2AEF" w:rsidRPr="004F2AEF" w:rsidRDefault="004F2AEF" w:rsidP="004F2AEF">
      <w:pPr>
        <w:spacing w:before="60" w:after="0" w:line="240" w:lineRule="auto"/>
        <w:ind w:firstLine="567"/>
        <w:jc w:val="both"/>
        <w:rPr>
          <w:rFonts w:eastAsia="Times New Roman" w:cs="Times New Roman"/>
          <w:b/>
          <w:bCs/>
          <w:szCs w:val="28"/>
        </w:rPr>
      </w:pPr>
      <w:r w:rsidRPr="004F2AEF">
        <w:rPr>
          <w:rFonts w:eastAsia="Times New Roman" w:cs="Times New Roman"/>
          <w:b/>
          <w:bCs/>
          <w:szCs w:val="28"/>
        </w:rPr>
        <w:t>8. Phí, lệ phí:</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Theo quy định tại Thông tư của Bộ trưởng Bộ Tài chính</w:t>
      </w:r>
    </w:p>
    <w:p w:rsidR="004F2AEF" w:rsidRPr="004F2AEF" w:rsidRDefault="004F2AEF" w:rsidP="004F2AEF">
      <w:pPr>
        <w:spacing w:before="60" w:after="0" w:line="240" w:lineRule="auto"/>
        <w:ind w:firstLine="567"/>
        <w:jc w:val="both"/>
        <w:rPr>
          <w:rFonts w:eastAsia="Times New Roman" w:cs="Times New Roman"/>
          <w:b/>
          <w:bCs/>
          <w:szCs w:val="28"/>
        </w:rPr>
      </w:pPr>
      <w:r w:rsidRPr="004F2AEF">
        <w:rPr>
          <w:rFonts w:eastAsia="Times New Roman" w:cs="Times New Roman"/>
          <w:b/>
          <w:bCs/>
          <w:szCs w:val="28"/>
        </w:rPr>
        <w:t>9. Tên mẫu đơn, mẫu tờ khai hành chính:</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Tờ trình thẩm định Báo cáo nghiên cứu khả thi đầu tư xây dựng theo Mẫu số 01 Phụ lục I Nghị định số 15/2021/NĐ-CP.</w:t>
      </w:r>
    </w:p>
    <w:p w:rsidR="004F2AEF" w:rsidRPr="004F2AEF" w:rsidRDefault="004F2AEF" w:rsidP="004F2AEF">
      <w:pPr>
        <w:spacing w:before="60" w:after="0" w:line="240" w:lineRule="auto"/>
        <w:ind w:firstLine="567"/>
        <w:jc w:val="both"/>
        <w:rPr>
          <w:rFonts w:eastAsia="Times New Roman" w:cs="Times New Roman"/>
          <w:b/>
          <w:bCs/>
          <w:szCs w:val="28"/>
        </w:rPr>
      </w:pPr>
      <w:r w:rsidRPr="004F2AEF">
        <w:rPr>
          <w:rFonts w:eastAsia="Times New Roman" w:cs="Times New Roman"/>
          <w:b/>
          <w:bCs/>
          <w:szCs w:val="28"/>
        </w:rPr>
        <w:t>10. Yêu cầu, điều kiện thực hiện TTHC:</w:t>
      </w:r>
    </w:p>
    <w:p w:rsidR="004F2AEF" w:rsidRPr="004F2AEF" w:rsidRDefault="004F2AEF" w:rsidP="004F2AEF">
      <w:pPr>
        <w:spacing w:before="60" w:after="0" w:line="240" w:lineRule="auto"/>
        <w:ind w:firstLine="567"/>
        <w:jc w:val="both"/>
        <w:rPr>
          <w:rFonts w:eastAsia="Wingdings" w:cs="Times New Roman"/>
          <w:szCs w:val="28"/>
        </w:rPr>
      </w:pPr>
      <w:r w:rsidRPr="004F2AEF">
        <w:rPr>
          <w:rFonts w:eastAsia="Wingdings" w:cs="Times New Roman"/>
          <w:szCs w:val="28"/>
        </w:rPr>
        <w:t xml:space="preserve">Hồ sơ trình thẩm định phải bảo đảm tính pháp lý, hợp lệ, phù hợp với nội dung đề nghị thẩm định. Hồ sơ trình thẩm định được xem là đúng quy cách, được trình bày với ngôn ngữ chính là tiếng Việt và được người đề nghị thẩm định kiểm tra, xác nhận. Phần hồ sơ thiết kế kiến trúc trong hồ sơ thiết kế xây dựng (nếu có) cần tuân thủ quy định theo pháp luật về kiến trúc. </w:t>
      </w:r>
    </w:p>
    <w:p w:rsidR="004F2AEF" w:rsidRPr="004F2AEF" w:rsidRDefault="004F2AEF" w:rsidP="004F2AEF">
      <w:pPr>
        <w:spacing w:before="60" w:after="0" w:line="240" w:lineRule="auto"/>
        <w:ind w:firstLine="567"/>
        <w:jc w:val="both"/>
        <w:rPr>
          <w:rFonts w:eastAsia="Times New Roman" w:cs="Times New Roman"/>
          <w:b/>
          <w:bCs/>
          <w:szCs w:val="28"/>
        </w:rPr>
      </w:pPr>
      <w:r w:rsidRPr="004F2AEF">
        <w:rPr>
          <w:rFonts w:eastAsia="Times New Roman" w:cs="Times New Roman"/>
          <w:b/>
          <w:bCs/>
          <w:szCs w:val="28"/>
        </w:rPr>
        <w:t>11. Căn cứ pháp lý của TTHC:</w:t>
      </w:r>
    </w:p>
    <w:p w:rsidR="004F2AEF" w:rsidRPr="004F2AEF" w:rsidRDefault="004F2AEF" w:rsidP="004F2AEF">
      <w:pPr>
        <w:spacing w:before="60" w:after="0" w:line="240" w:lineRule="auto"/>
        <w:ind w:firstLine="567"/>
        <w:jc w:val="both"/>
        <w:rPr>
          <w:rFonts w:eastAsia="Wingdings" w:cs="Times New Roman"/>
          <w:szCs w:val="28"/>
          <w:lang w:val="vi-VN"/>
        </w:rPr>
      </w:pPr>
      <w:r w:rsidRPr="004F2AEF">
        <w:rPr>
          <w:rFonts w:eastAsia="Wingdings" w:cs="Times New Roman"/>
          <w:szCs w:val="28"/>
          <w:lang w:val="vi-VN"/>
        </w:rPr>
        <w:t>- Luật Xây dựng số 50/2014/QH13 ngày 18/6/2014;</w:t>
      </w:r>
    </w:p>
    <w:p w:rsidR="004F2AEF" w:rsidRPr="004F2AEF" w:rsidRDefault="004F2AEF" w:rsidP="004F2AEF">
      <w:pPr>
        <w:spacing w:before="60" w:after="0" w:line="240" w:lineRule="auto"/>
        <w:ind w:firstLine="567"/>
        <w:jc w:val="both"/>
        <w:rPr>
          <w:rFonts w:eastAsia="Wingdings" w:cs="Times New Roman"/>
          <w:szCs w:val="28"/>
          <w:lang w:val="vi-VN"/>
        </w:rPr>
      </w:pPr>
      <w:r w:rsidRPr="004F2AEF">
        <w:rPr>
          <w:rFonts w:eastAsia="Wingdings" w:cs="Times New Roman"/>
          <w:szCs w:val="28"/>
          <w:lang w:val="vi-VN"/>
        </w:rPr>
        <w:t>- Luật sửa đổi, bổ sung một số điều của Luật Xây dựng số 62/2020/QH14;</w:t>
      </w:r>
    </w:p>
    <w:p w:rsidR="004F2AEF" w:rsidRPr="004F2AEF" w:rsidRDefault="004F2AEF" w:rsidP="004F2AEF">
      <w:pPr>
        <w:spacing w:before="60" w:after="0" w:line="240" w:lineRule="auto"/>
        <w:ind w:firstLine="567"/>
        <w:jc w:val="both"/>
        <w:rPr>
          <w:rFonts w:eastAsia="Wingdings" w:cs="Times New Roman"/>
          <w:szCs w:val="28"/>
          <w:lang w:val="vi-VN"/>
        </w:rPr>
      </w:pPr>
      <w:r w:rsidRPr="004F2AEF">
        <w:rPr>
          <w:rFonts w:eastAsia="Wingdings" w:cs="Times New Roman"/>
          <w:szCs w:val="28"/>
          <w:lang w:val="vi-VN"/>
        </w:rPr>
        <w:t>- Nghị định số 15/2021/NĐ-CP ngày 03/3/2021 của Chính phủ quy định chi tiết một số nội dung về quản lý dự án đầu tư xây dựng;</w:t>
      </w:r>
    </w:p>
    <w:p w:rsidR="00352113" w:rsidRDefault="004F2AEF" w:rsidP="004F2AEF">
      <w:r w:rsidRPr="004F2AEF">
        <w:rPr>
          <w:rFonts w:eastAsia="Wingdings" w:cs="Times New Roman"/>
          <w:i/>
          <w:spacing w:val="-6"/>
          <w:szCs w:val="28"/>
          <w:lang w:val="vi-VN"/>
        </w:rPr>
        <w:t>- Nghị định số 35/2023/NĐ-CP ngày 20/6/2023 của Chính phủ sửa đổi, bổ sung một số điều của các Nghị định thuộc lĩnh vực quản lý nhà nước của Bộ Xây dựng;</w:t>
      </w:r>
    </w:p>
    <w:sectPr w:rsidR="00352113" w:rsidSect="004F2AEF">
      <w:pgSz w:w="11907" w:h="16840" w:code="9"/>
      <w:pgMar w:top="1440" w:right="85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67A" w:rsidRDefault="00EB167A" w:rsidP="004F2AEF">
      <w:pPr>
        <w:spacing w:after="0" w:line="240" w:lineRule="auto"/>
      </w:pPr>
      <w:r>
        <w:separator/>
      </w:r>
    </w:p>
  </w:endnote>
  <w:endnote w:type="continuationSeparator" w:id="0">
    <w:p w:rsidR="00EB167A" w:rsidRDefault="00EB167A" w:rsidP="004F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67A" w:rsidRDefault="00EB167A" w:rsidP="004F2AEF">
      <w:pPr>
        <w:spacing w:after="0" w:line="240" w:lineRule="auto"/>
      </w:pPr>
      <w:r>
        <w:separator/>
      </w:r>
    </w:p>
  </w:footnote>
  <w:footnote w:type="continuationSeparator" w:id="0">
    <w:p w:rsidR="00EB167A" w:rsidRDefault="00EB167A" w:rsidP="004F2AEF">
      <w:pPr>
        <w:spacing w:after="0" w:line="240" w:lineRule="auto"/>
      </w:pPr>
      <w:r>
        <w:continuationSeparator/>
      </w:r>
    </w:p>
  </w:footnote>
  <w:footnote w:id="1">
    <w:p w:rsidR="004F2AEF" w:rsidRDefault="004F2AEF" w:rsidP="004F2AEF">
      <w:pPr>
        <w:pStyle w:val="FootnoteText"/>
      </w:pPr>
      <w:r>
        <w:rPr>
          <w:rStyle w:val="FootnoteReference"/>
        </w:rPr>
        <w:footnoteRef/>
      </w:r>
      <w:r>
        <w:t xml:space="preserve"> </w:t>
      </w:r>
      <w:r w:rsidRPr="00507E30">
        <w:rPr>
          <w:color w:val="FF0000"/>
          <w:lang w:val="it-IT"/>
        </w:rPr>
        <w:t>Phần chữ “in nghiêng” là nội sung được sửa đổi, bổ sung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EF"/>
    <w:rsid w:val="00352113"/>
    <w:rsid w:val="004F2AEF"/>
    <w:rsid w:val="00C22EE2"/>
    <w:rsid w:val="00EB1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A961F-7941-4C26-A60F-FC42F59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F2AE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4F2AEF"/>
    <w:rPr>
      <w:rFonts w:eastAsia="Times New Roman" w:cs="Times New Roman"/>
      <w:sz w:val="20"/>
      <w:szCs w:val="20"/>
    </w:rPr>
  </w:style>
  <w:style w:type="character" w:styleId="FootnoteReference">
    <w:name w:val="footnote reference"/>
    <w:basedOn w:val="DefaultParagraphFont"/>
    <w:semiHidden/>
    <w:unhideWhenUsed/>
    <w:rsid w:val="004F2A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2024-10-23T01:19:00Z</dcterms:created>
  <dcterms:modified xsi:type="dcterms:W3CDTF">2024-10-23T01:21:00Z</dcterms:modified>
</cp:coreProperties>
</file>